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64C5">
      <w:pPr>
        <w:widowControl/>
        <w:adjustRightInd w:val="0"/>
        <w:snapToGrid w:val="0"/>
        <w:spacing w:line="360" w:lineRule="auto"/>
        <w:jc w:val="left"/>
        <w:rPr>
          <w:rFonts w:ascii="宋体" w:hAnsi="宋体" w:eastAsia="宋体"/>
          <w:sz w:val="28"/>
          <w:szCs w:val="28"/>
        </w:rPr>
      </w:pPr>
    </w:p>
    <w:p w14:paraId="1F0CC3A6">
      <w:pPr>
        <w:widowControl/>
        <w:adjustRightInd w:val="0"/>
        <w:snapToGrid w:val="0"/>
        <w:spacing w:line="360" w:lineRule="auto"/>
        <w:jc w:val="left"/>
        <w:rPr>
          <w:rFonts w:ascii="宋体" w:hAnsi="宋体" w:eastAsia="宋体"/>
          <w:sz w:val="44"/>
          <w:szCs w:val="44"/>
        </w:rPr>
      </w:pPr>
    </w:p>
    <w:p w14:paraId="372CB250">
      <w:pPr>
        <w:widowControl/>
        <w:adjustRightInd w:val="0"/>
        <w:snapToGrid w:val="0"/>
        <w:ind w:firstLine="560"/>
        <w:jc w:val="center"/>
        <w:rPr>
          <w:rFonts w:ascii="宋体" w:hAnsi="宋体" w:eastAsia="宋体"/>
          <w:color w:val="000000"/>
          <w:sz w:val="28"/>
        </w:rPr>
      </w:pPr>
    </w:p>
    <w:p w14:paraId="55E4F2E2">
      <w:pPr>
        <w:jc w:val="center"/>
        <w:rPr>
          <w:rFonts w:hint="eastAsia" w:ascii="宋体" w:hAnsi="宋体" w:eastAsia="宋体"/>
          <w:sz w:val="44"/>
          <w:szCs w:val="44"/>
          <w:lang w:val="en-US" w:eastAsia="zh-CN"/>
        </w:rPr>
      </w:pPr>
      <w:r>
        <w:rPr>
          <w:rFonts w:hint="eastAsia" w:ascii="宋体" w:hAnsi="宋体" w:eastAsia="宋体"/>
          <w:sz w:val="44"/>
          <w:szCs w:val="44"/>
          <w:lang w:val="en-US" w:eastAsia="zh-CN"/>
        </w:rPr>
        <w:t>玉屏县华朗农业资源循环科学处理有限公司</w:t>
      </w:r>
    </w:p>
    <w:p w14:paraId="75C37744">
      <w:pPr>
        <w:jc w:val="center"/>
        <w:rPr>
          <w:rFonts w:ascii="宋体" w:hAnsi="宋体" w:eastAsia="宋体" w:cs="黑体"/>
          <w:sz w:val="44"/>
          <w:szCs w:val="44"/>
        </w:rPr>
      </w:pPr>
    </w:p>
    <w:p w14:paraId="28BEC985">
      <w:pPr>
        <w:jc w:val="center"/>
        <w:rPr>
          <w:rFonts w:ascii="宋体" w:hAnsi="宋体" w:eastAsia="宋体" w:cs="黑体"/>
          <w:sz w:val="44"/>
          <w:szCs w:val="44"/>
        </w:rPr>
      </w:pPr>
    </w:p>
    <w:p w14:paraId="5055FF82">
      <w:pPr>
        <w:jc w:val="center"/>
        <w:rPr>
          <w:rFonts w:ascii="宋体" w:hAnsi="宋体" w:eastAsia="宋体" w:cs="黑体"/>
          <w:sz w:val="44"/>
          <w:szCs w:val="44"/>
        </w:rPr>
      </w:pPr>
    </w:p>
    <w:p w14:paraId="1C6A9B11">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lang w:val="en-US" w:eastAsia="zh-CN"/>
        </w:rPr>
        <w:t>无害化收集专用车</w:t>
      </w:r>
    </w:p>
    <w:p w14:paraId="66B8B7FC">
      <w:pPr>
        <w:widowControl/>
        <w:adjustRightInd w:val="0"/>
        <w:snapToGrid w:val="0"/>
        <w:spacing w:line="360" w:lineRule="auto"/>
        <w:jc w:val="center"/>
        <w:rPr>
          <w:rFonts w:hint="eastAsia" w:ascii="宋体" w:hAnsi="宋体" w:eastAsia="宋体"/>
          <w:sz w:val="44"/>
          <w:szCs w:val="44"/>
          <w:lang w:val="en-US" w:eastAsia="zh-CN"/>
        </w:rPr>
      </w:pPr>
      <w:r>
        <w:rPr>
          <w:rFonts w:hint="eastAsia" w:ascii="宋体" w:hAnsi="宋体" w:eastAsia="宋体"/>
          <w:sz w:val="44"/>
          <w:szCs w:val="44"/>
          <w:lang w:val="en-US" w:eastAsia="zh-CN"/>
        </w:rPr>
        <w:t>技术需求书</w:t>
      </w:r>
    </w:p>
    <w:p w14:paraId="2D13B9FB">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ITB-LK-YP-064</w:t>
      </w:r>
      <w:r>
        <w:rPr>
          <w:rFonts w:hint="eastAsia" w:ascii="宋体" w:hAnsi="宋体" w:eastAsia="宋体"/>
          <w:sz w:val="30"/>
          <w:szCs w:val="30"/>
        </w:rPr>
        <w:t xml:space="preserve"> ）</w:t>
      </w:r>
    </w:p>
    <w:p w14:paraId="68182A38">
      <w:pPr>
        <w:widowControl/>
        <w:tabs>
          <w:tab w:val="left" w:pos="6840"/>
        </w:tabs>
        <w:adjustRightInd w:val="0"/>
        <w:snapToGrid w:val="0"/>
        <w:spacing w:line="360" w:lineRule="auto"/>
        <w:jc w:val="center"/>
        <w:rPr>
          <w:rFonts w:ascii="宋体" w:hAnsi="宋体" w:eastAsia="宋体"/>
          <w:sz w:val="28"/>
          <w:szCs w:val="28"/>
        </w:rPr>
      </w:pPr>
    </w:p>
    <w:p w14:paraId="13E7FA84">
      <w:pPr>
        <w:widowControl/>
        <w:tabs>
          <w:tab w:val="left" w:pos="6840"/>
        </w:tabs>
        <w:adjustRightInd w:val="0"/>
        <w:snapToGrid w:val="0"/>
        <w:spacing w:line="360" w:lineRule="auto"/>
        <w:jc w:val="center"/>
        <w:rPr>
          <w:rFonts w:ascii="宋体" w:hAnsi="宋体" w:eastAsia="宋体"/>
          <w:sz w:val="28"/>
          <w:szCs w:val="28"/>
        </w:rPr>
      </w:pPr>
    </w:p>
    <w:p w14:paraId="1872A59C">
      <w:pPr>
        <w:widowControl/>
        <w:tabs>
          <w:tab w:val="left" w:pos="6840"/>
        </w:tabs>
        <w:adjustRightInd w:val="0"/>
        <w:snapToGrid w:val="0"/>
        <w:spacing w:line="360" w:lineRule="auto"/>
        <w:jc w:val="center"/>
        <w:rPr>
          <w:rFonts w:ascii="宋体" w:hAnsi="宋体" w:eastAsia="宋体"/>
          <w:sz w:val="28"/>
          <w:szCs w:val="28"/>
        </w:rPr>
      </w:pPr>
    </w:p>
    <w:p w14:paraId="392E2E91">
      <w:pPr>
        <w:widowControl/>
        <w:tabs>
          <w:tab w:val="left" w:pos="6840"/>
        </w:tabs>
        <w:adjustRightInd w:val="0"/>
        <w:snapToGrid w:val="0"/>
        <w:spacing w:line="360" w:lineRule="auto"/>
        <w:jc w:val="center"/>
        <w:rPr>
          <w:rFonts w:ascii="宋体" w:hAnsi="宋体" w:eastAsia="宋体"/>
          <w:sz w:val="28"/>
          <w:szCs w:val="28"/>
        </w:rPr>
      </w:pPr>
    </w:p>
    <w:p w14:paraId="1FBE7224">
      <w:pPr>
        <w:widowControl/>
        <w:tabs>
          <w:tab w:val="left" w:pos="6840"/>
        </w:tabs>
        <w:adjustRightInd w:val="0"/>
        <w:snapToGrid w:val="0"/>
        <w:spacing w:line="360" w:lineRule="auto"/>
        <w:jc w:val="center"/>
        <w:rPr>
          <w:rFonts w:ascii="宋体" w:hAnsi="宋体" w:eastAsia="宋体"/>
          <w:sz w:val="28"/>
          <w:szCs w:val="28"/>
        </w:rPr>
      </w:pPr>
    </w:p>
    <w:p w14:paraId="79074E93">
      <w:pPr>
        <w:widowControl/>
        <w:tabs>
          <w:tab w:val="left" w:pos="6840"/>
        </w:tabs>
        <w:adjustRightInd w:val="0"/>
        <w:snapToGrid w:val="0"/>
        <w:spacing w:line="360" w:lineRule="auto"/>
        <w:jc w:val="center"/>
        <w:rPr>
          <w:rFonts w:ascii="宋体" w:hAnsi="宋体" w:eastAsia="宋体"/>
          <w:sz w:val="28"/>
          <w:szCs w:val="28"/>
        </w:rPr>
      </w:pPr>
    </w:p>
    <w:p w14:paraId="01A8B7AA">
      <w:pPr>
        <w:widowControl/>
        <w:tabs>
          <w:tab w:val="left" w:pos="6840"/>
        </w:tabs>
        <w:adjustRightInd w:val="0"/>
        <w:snapToGrid w:val="0"/>
        <w:spacing w:line="360" w:lineRule="auto"/>
        <w:jc w:val="center"/>
        <w:rPr>
          <w:rFonts w:ascii="宋体" w:hAnsi="宋体" w:eastAsia="宋体"/>
          <w:sz w:val="28"/>
          <w:szCs w:val="28"/>
        </w:rPr>
      </w:pPr>
    </w:p>
    <w:p w14:paraId="74B715A2">
      <w:pPr>
        <w:jc w:val="center"/>
        <w:rPr>
          <w:rFonts w:ascii="宋体" w:hAnsi="宋体" w:eastAsia="宋体"/>
          <w:sz w:val="28"/>
          <w:szCs w:val="28"/>
        </w:rPr>
      </w:pPr>
    </w:p>
    <w:p w14:paraId="3C132FB5">
      <w:pPr>
        <w:jc w:val="center"/>
        <w:rPr>
          <w:rFonts w:ascii="宋体" w:hAnsi="宋体" w:eastAsia="宋体"/>
          <w:sz w:val="28"/>
          <w:szCs w:val="28"/>
        </w:rPr>
      </w:pPr>
    </w:p>
    <w:p w14:paraId="3B86806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玉屏县华朗农业资源循环科学处理有限公司</w:t>
      </w:r>
      <w:r>
        <w:rPr>
          <w:rFonts w:hint="eastAsia" w:ascii="宋体" w:hAnsi="宋体" w:eastAsia="宋体"/>
          <w:sz w:val="30"/>
          <w:szCs w:val="30"/>
        </w:rPr>
        <w:t xml:space="preserve"> </w:t>
      </w:r>
    </w:p>
    <w:p w14:paraId="3A51D599">
      <w:pPr>
        <w:jc w:val="center"/>
        <w:rPr>
          <w:rFonts w:ascii="宋体" w:hAnsi="宋体" w:eastAsia="宋体"/>
          <w:sz w:val="30"/>
          <w:szCs w:val="30"/>
        </w:r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8</w:t>
      </w:r>
      <w:r>
        <w:rPr>
          <w:rFonts w:ascii="宋体" w:hAnsi="宋体" w:eastAsia="宋体"/>
          <w:sz w:val="30"/>
          <w:szCs w:val="30"/>
        </w:rPr>
        <w:t xml:space="preserve">月 </w:t>
      </w:r>
    </w:p>
    <w:p w14:paraId="5698CFB0">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pgNumType w:fmt="decimal"/>
          <w:cols w:space="720" w:num="1"/>
          <w:docGrid w:linePitch="312" w:charSpace="0"/>
        </w:sectPr>
      </w:pPr>
    </w:p>
    <w:p w14:paraId="37435988">
      <w:pPr>
        <w:autoSpaceDE w:val="0"/>
        <w:autoSpaceDN w:val="0"/>
        <w:spacing w:before="120" w:after="120" w:afterLines="50" w:line="360" w:lineRule="auto"/>
        <w:jc w:val="left"/>
        <w:outlineLvl w:val="0"/>
        <w:rPr>
          <w:rFonts w:ascii="宋体" w:hAnsi="宋体" w:eastAsia="宋体"/>
          <w:b/>
          <w:bCs/>
          <w:szCs w:val="24"/>
        </w:rPr>
      </w:pPr>
      <w:bookmarkStart w:id="0" w:name="_Toc91073130"/>
      <w:r>
        <w:rPr>
          <w:rFonts w:hint="eastAsia" w:ascii="宋体" w:hAnsi="宋体" w:eastAsia="宋体"/>
          <w:b/>
          <w:bCs/>
          <w:szCs w:val="24"/>
        </w:rPr>
        <w:t>1.招标</w:t>
      </w:r>
      <w:r>
        <w:rPr>
          <w:rFonts w:ascii="宋体" w:hAnsi="宋体" w:eastAsia="宋体"/>
          <w:b/>
          <w:bCs/>
          <w:szCs w:val="24"/>
        </w:rPr>
        <w:t>条件</w:t>
      </w:r>
      <w:bookmarkEnd w:id="0"/>
    </w:p>
    <w:p w14:paraId="718677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szCs w:val="24"/>
          <w:lang w:val="en-US" w:eastAsia="zh-CN"/>
        </w:rPr>
      </w:pPr>
      <w:bookmarkStart w:id="1" w:name="_Toc184635054"/>
      <w:bookmarkStart w:id="2" w:name="_Toc91073131"/>
      <w:r>
        <w:rPr>
          <w:rFonts w:hint="eastAsia" w:ascii="宋体" w:hAnsi="宋体" w:eastAsia="宋体"/>
          <w:szCs w:val="24"/>
        </w:rPr>
        <w:t>本</w:t>
      </w:r>
      <w:r>
        <w:rPr>
          <w:rFonts w:hint="eastAsia" w:ascii="宋体" w:hAnsi="宋体" w:eastAsia="宋体"/>
          <w:szCs w:val="24"/>
          <w:lang w:val="en-US" w:eastAsia="zh-CN"/>
        </w:rPr>
        <w:t>次</w:t>
      </w:r>
      <w:r>
        <w:rPr>
          <w:rFonts w:hint="eastAsia" w:ascii="宋体" w:hAnsi="宋体" w:eastAsia="宋体"/>
          <w:szCs w:val="24"/>
        </w:rPr>
        <w:t>招标项目</w:t>
      </w:r>
      <w:r>
        <w:rPr>
          <w:rFonts w:hint="eastAsia" w:ascii="宋体" w:hAnsi="宋体" w:eastAsia="宋体"/>
          <w:szCs w:val="24"/>
          <w:lang w:val="en-US" w:eastAsia="zh-CN"/>
        </w:rPr>
        <w:t>玉屏</w:t>
      </w:r>
      <w:r>
        <w:rPr>
          <w:rFonts w:hint="eastAsia" w:ascii="宋体" w:hAnsi="宋体" w:eastAsia="宋体"/>
          <w:szCs w:val="24"/>
        </w:rPr>
        <w:t>项目</w:t>
      </w:r>
      <w:r>
        <w:rPr>
          <w:rFonts w:hint="eastAsia" w:ascii="宋体" w:hAnsi="宋体" w:eastAsia="宋体"/>
          <w:szCs w:val="24"/>
          <w:lang w:val="en-US" w:eastAsia="zh-CN"/>
        </w:rPr>
        <w:t>使用于无害化处理的病死禽畜的收运，车辆必须做到全封闭，无漏液漏气、具备冷藏功能，车厢常年需要通过高温消毒处理，车厢具备防腐性能。</w:t>
      </w:r>
    </w:p>
    <w:p w14:paraId="4EE63396">
      <w:pPr>
        <w:autoSpaceDE w:val="0"/>
        <w:autoSpaceDN w:val="0"/>
        <w:spacing w:before="120" w:after="120" w:afterLines="50" w:line="360" w:lineRule="auto"/>
        <w:jc w:val="left"/>
        <w:outlineLvl w:val="0"/>
        <w:rPr>
          <w:rFonts w:hint="eastAsia" w:ascii="宋体" w:hAnsi="宋体" w:eastAsia="宋体"/>
          <w:b/>
          <w:bCs/>
          <w:szCs w:val="24"/>
        </w:rPr>
      </w:pPr>
      <w:r>
        <w:rPr>
          <w:rFonts w:hint="eastAsia" w:ascii="宋体" w:hAnsi="宋体" w:eastAsia="宋体"/>
          <w:b/>
          <w:bCs/>
          <w:szCs w:val="24"/>
        </w:rPr>
        <w:t>2.项目概况与招标范围</w:t>
      </w:r>
      <w:bookmarkEnd w:id="1"/>
      <w:bookmarkEnd w:id="2"/>
    </w:p>
    <w:p w14:paraId="75AA30E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szCs w:val="24"/>
        </w:rPr>
      </w:pPr>
      <w:r>
        <w:rPr>
          <w:rFonts w:hint="eastAsia" w:ascii="宋体" w:hAnsi="宋体" w:eastAsia="宋体"/>
          <w:b/>
          <w:bCs/>
          <w:szCs w:val="24"/>
        </w:rPr>
        <w:t>2.1</w:t>
      </w:r>
      <w:r>
        <w:rPr>
          <w:rFonts w:hint="eastAsia" w:ascii="宋体" w:hAnsi="宋体" w:eastAsia="宋体"/>
          <w:b/>
          <w:bCs/>
          <w:szCs w:val="24"/>
          <w:lang w:val="en-US" w:eastAsia="zh-CN"/>
        </w:rPr>
        <w:t xml:space="preserve"> </w:t>
      </w:r>
      <w:r>
        <w:rPr>
          <w:rFonts w:hint="eastAsia" w:ascii="宋体" w:hAnsi="宋体" w:eastAsia="宋体"/>
          <w:b/>
          <w:bCs/>
          <w:szCs w:val="24"/>
        </w:rPr>
        <w:t>项</w:t>
      </w:r>
      <w:r>
        <w:rPr>
          <w:rFonts w:ascii="宋体" w:hAnsi="宋体" w:eastAsia="宋体"/>
          <w:b/>
          <w:bCs/>
          <w:szCs w:val="24"/>
        </w:rPr>
        <w:t>目概况：</w:t>
      </w:r>
    </w:p>
    <w:p w14:paraId="11581D1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bookmarkStart w:id="3" w:name="_Toc456800085"/>
      <w:bookmarkStart w:id="4" w:name="_Toc456799687"/>
      <w:bookmarkStart w:id="5" w:name="_Toc456800242"/>
      <w:bookmarkStart w:id="6" w:name="_Toc456799947"/>
      <w:bookmarkStart w:id="7" w:name="_Toc456800166"/>
      <w:bookmarkStart w:id="8" w:name="_Toc456800136"/>
      <w:bookmarkStart w:id="9" w:name="_Toc456799795"/>
      <w:r>
        <w:rPr>
          <w:rFonts w:ascii="宋体" w:hAnsi="宋体" w:eastAsia="宋体"/>
          <w:szCs w:val="24"/>
        </w:rPr>
        <w:t>2.1.1项目名称</w:t>
      </w:r>
      <w:r>
        <w:rPr>
          <w:rFonts w:hint="eastAsia" w:ascii="宋体" w:hAnsi="宋体" w:eastAsia="宋体"/>
          <w:szCs w:val="24"/>
        </w:rPr>
        <w:t>：</w:t>
      </w:r>
      <w:r>
        <w:rPr>
          <w:rFonts w:hint="eastAsia" w:ascii="宋体" w:hAnsi="宋体" w:eastAsia="宋体"/>
          <w:szCs w:val="24"/>
          <w:lang w:val="en-US" w:eastAsia="zh-CN"/>
        </w:rPr>
        <w:t>玉屏项目</w:t>
      </w:r>
    </w:p>
    <w:p w14:paraId="34CAA1E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rPr>
      </w:pPr>
      <w:r>
        <w:rPr>
          <w:rFonts w:ascii="宋体" w:hAnsi="宋体" w:eastAsia="宋体"/>
          <w:szCs w:val="24"/>
        </w:rPr>
        <w:t>2.1.2</w:t>
      </w:r>
      <w:r>
        <w:rPr>
          <w:rFonts w:hint="eastAsia" w:ascii="宋体" w:hAnsi="宋体" w:eastAsia="宋体"/>
          <w:szCs w:val="24"/>
        </w:rPr>
        <w:t>项目地点：</w:t>
      </w:r>
      <w:r>
        <w:rPr>
          <w:rFonts w:hint="eastAsia" w:ascii="宋体" w:hAnsi="宋体" w:eastAsia="宋体"/>
          <w:b/>
          <w:bCs/>
          <w:szCs w:val="24"/>
        </w:rPr>
        <w:t>贵州省铜仁市玉屏县田坪镇田冲村甲方项目现场</w:t>
      </w:r>
    </w:p>
    <w:p w14:paraId="03D9E4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Cs w:val="24"/>
        </w:rPr>
      </w:pPr>
      <w:r>
        <w:rPr>
          <w:rFonts w:ascii="宋体" w:hAnsi="宋体" w:eastAsia="宋体"/>
          <w:szCs w:val="24"/>
        </w:rPr>
        <w:t>2.</w:t>
      </w:r>
      <w:r>
        <w:rPr>
          <w:rFonts w:hint="eastAsia" w:ascii="宋体" w:hAnsi="宋体" w:eastAsia="宋体"/>
          <w:szCs w:val="24"/>
          <w:lang w:val="en-US" w:eastAsia="zh-CN"/>
        </w:rPr>
        <w:t>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lang w:val="en-US" w:eastAsia="zh-CN"/>
        </w:rPr>
        <w:t>技术要求</w:t>
      </w:r>
      <w:r>
        <w:rPr>
          <w:rFonts w:hint="eastAsia" w:ascii="宋体" w:hAnsi="宋体" w:eastAsia="宋体"/>
          <w:szCs w:val="24"/>
        </w:rPr>
        <w:t>：</w:t>
      </w:r>
    </w:p>
    <w:p w14:paraId="158B99D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Cs w:val="24"/>
        </w:rPr>
      </w:pPr>
      <w:r>
        <w:rPr>
          <w:rFonts w:hint="eastAsia" w:ascii="宋体" w:hAnsi="宋体" w:eastAsia="宋体"/>
          <w:szCs w:val="24"/>
          <w:lang w:val="en-US" w:eastAsia="zh-CN"/>
        </w:rPr>
        <w:t>2.2.1 招标范围：额载3.5T无害化收集专用车2台和5T无害化收集专用车2台</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4692D7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r>
        <w:rPr>
          <w:rFonts w:hint="eastAsia" w:ascii="宋体" w:hAnsi="宋体" w:eastAsia="宋体"/>
          <w:szCs w:val="24"/>
          <w:lang w:val="en-US" w:eastAsia="zh-CN"/>
        </w:rPr>
        <w:t>2.2.2 采购数量：3.5T无害化收集专用车2台和5T无害化收集专用车2台共计4台</w:t>
      </w:r>
      <w:bookmarkStart w:id="13" w:name="_GoBack"/>
      <w:bookmarkEnd w:id="13"/>
      <w:r>
        <w:rPr>
          <w:rFonts w:hint="eastAsia" w:ascii="宋体" w:hAnsi="宋体" w:eastAsia="宋体"/>
          <w:szCs w:val="24"/>
          <w:lang w:val="en-US" w:eastAsia="zh-CN"/>
        </w:rPr>
        <w:t>。</w:t>
      </w:r>
    </w:p>
    <w:p w14:paraId="60F3D8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bookmarkStart w:id="10" w:name="_Toc91073132"/>
      <w:r>
        <w:rPr>
          <w:rFonts w:hint="eastAsia" w:ascii="宋体" w:hAnsi="宋体" w:eastAsia="宋体"/>
          <w:szCs w:val="24"/>
          <w:lang w:val="en-US" w:eastAsia="zh-CN"/>
        </w:rPr>
        <w:t>2.2.</w:t>
      </w:r>
      <w:bookmarkEnd w:id="10"/>
      <w:r>
        <w:rPr>
          <w:rFonts w:hint="eastAsia" w:ascii="宋体" w:hAnsi="宋体" w:eastAsia="宋体"/>
          <w:szCs w:val="24"/>
          <w:lang w:val="en-US" w:eastAsia="zh-CN"/>
        </w:rPr>
        <w:t>3详细需求</w:t>
      </w:r>
    </w:p>
    <w:p w14:paraId="2238B7D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r>
        <w:rPr>
          <w:rFonts w:hint="eastAsia" w:ascii="宋体" w:hAnsi="宋体" w:eastAsia="宋体"/>
          <w:szCs w:val="24"/>
          <w:lang w:val="en-US" w:eastAsia="zh-CN"/>
        </w:rPr>
        <w:t>2.2.3.1 额载3.5T无害化收集专用车</w:t>
      </w:r>
    </w:p>
    <w:p w14:paraId="4F80DD0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lang w:val="en-US" w:eastAsia="zh-CN"/>
        </w:rPr>
      </w:pPr>
      <w:r>
        <w:rPr>
          <w:rFonts w:hint="eastAsia" w:ascii="宋体" w:hAnsi="宋体" w:eastAsia="宋体"/>
          <w:szCs w:val="24"/>
          <w:lang w:val="en-US" w:eastAsia="zh-CN"/>
        </w:rPr>
        <w:t>车辆名称：全密闭式动物无害化专用车</w:t>
      </w:r>
      <w:r>
        <w:rPr>
          <w:rFonts w:hint="eastAsia" w:ascii="宋体" w:hAnsi="宋体" w:eastAsia="宋体"/>
          <w:b/>
          <w:bCs/>
          <w:szCs w:val="24"/>
          <w:lang w:val="en-US" w:eastAsia="zh-CN"/>
        </w:rPr>
        <w:t>（黄牌车）</w:t>
      </w:r>
    </w:p>
    <w:p w14:paraId="52CF9DB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额定载重：≥ 3.5吨</w:t>
      </w:r>
    </w:p>
    <w:p w14:paraId="16FBD7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有效容积：≥15 m3</w:t>
      </w:r>
    </w:p>
    <w:p w14:paraId="41DBA5D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车厢要求：自动装卸载</w:t>
      </w:r>
    </w:p>
    <w:p w14:paraId="0009FD2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使用地点：玉屏项目</w:t>
      </w:r>
    </w:p>
    <w:p w14:paraId="5E222D1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2.2.3.2 额载5T无害化收集专用车</w:t>
      </w:r>
    </w:p>
    <w:p w14:paraId="0A3B47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lang w:val="en-US" w:eastAsia="zh-CN"/>
        </w:rPr>
      </w:pPr>
      <w:r>
        <w:rPr>
          <w:rFonts w:hint="eastAsia" w:ascii="宋体" w:hAnsi="宋体" w:eastAsia="宋体"/>
          <w:szCs w:val="24"/>
          <w:lang w:val="en-US" w:eastAsia="zh-CN"/>
        </w:rPr>
        <w:t>车辆名称：全密闭式动物无害化专用车</w:t>
      </w:r>
      <w:r>
        <w:rPr>
          <w:rFonts w:hint="eastAsia" w:ascii="宋体" w:hAnsi="宋体" w:eastAsia="宋体"/>
          <w:b/>
          <w:bCs/>
          <w:szCs w:val="24"/>
          <w:lang w:val="en-US" w:eastAsia="zh-CN"/>
        </w:rPr>
        <w:t>（黄牌车）</w:t>
      </w:r>
    </w:p>
    <w:p w14:paraId="39EE5C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额定载重：≥ 5吨</w:t>
      </w:r>
    </w:p>
    <w:p w14:paraId="1CE5C6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有效容积：≥27m3</w:t>
      </w:r>
    </w:p>
    <w:p w14:paraId="3EC5B1D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车厢要求：自动装卸载</w:t>
      </w:r>
    </w:p>
    <w:p w14:paraId="1F46603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使用地点：玉屏项目</w:t>
      </w:r>
    </w:p>
    <w:p w14:paraId="7B873A4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p>
    <w:p w14:paraId="402DEF42">
      <w:pPr>
        <w:autoSpaceDE w:val="0"/>
        <w:autoSpaceDN w:val="0"/>
        <w:spacing w:before="120" w:after="120" w:afterLines="50" w:line="360" w:lineRule="auto"/>
        <w:jc w:val="left"/>
        <w:outlineLvl w:val="0"/>
        <w:rPr>
          <w:rFonts w:hint="eastAsia" w:ascii="宋体" w:hAnsi="宋体" w:eastAsia="宋体"/>
          <w:b/>
          <w:bCs/>
          <w:szCs w:val="24"/>
          <w:lang w:val="en-US" w:eastAsia="zh-CN"/>
        </w:rPr>
      </w:pPr>
      <w:r>
        <w:rPr>
          <w:rFonts w:hint="eastAsia" w:ascii="宋体" w:hAnsi="宋体" w:eastAsia="宋体"/>
          <w:b/>
          <w:bCs/>
          <w:szCs w:val="24"/>
          <w:lang w:val="en-US" w:eastAsia="zh-CN"/>
        </w:rPr>
        <w:t>3.车辆技术参数要求：</w:t>
      </w:r>
    </w:p>
    <w:p w14:paraId="047791A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b/>
          <w:bCs/>
          <w:szCs w:val="24"/>
          <w:lang w:val="en-US" w:eastAsia="zh-CN"/>
        </w:rPr>
      </w:pPr>
      <w:r>
        <w:rPr>
          <w:rFonts w:hint="eastAsia" w:ascii="宋体" w:hAnsi="宋体" w:eastAsia="宋体"/>
          <w:b/>
          <w:bCs/>
          <w:szCs w:val="24"/>
          <w:lang w:val="en-US" w:eastAsia="zh-CN"/>
        </w:rPr>
        <w:t>3.1 额载3.5T无害化收集专用车2台</w:t>
      </w:r>
    </w:p>
    <w:p w14:paraId="200A6E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lang w:val="en-US" w:eastAsia="zh-CN"/>
        </w:rPr>
      </w:pPr>
      <w:r>
        <w:rPr>
          <w:rFonts w:hint="eastAsia" w:ascii="宋体" w:hAnsi="宋体" w:eastAsia="宋体"/>
          <w:b/>
          <w:bCs/>
          <w:szCs w:val="24"/>
          <w:lang w:val="en-US" w:eastAsia="zh-CN"/>
        </w:rPr>
        <w:t>3.1.1底盘配置</w:t>
      </w:r>
    </w:p>
    <w:p w14:paraId="20D71E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szCs w:val="24"/>
          <w:lang w:val="en-US" w:eastAsia="zh-CN"/>
        </w:rPr>
      </w:pPr>
      <w:r>
        <w:rPr>
          <w:rFonts w:hint="eastAsia" w:ascii="宋体" w:hAnsi="宋体" w:eastAsia="宋体"/>
          <w:szCs w:val="24"/>
          <w:lang w:val="en-US" w:eastAsia="zh-CN"/>
        </w:rPr>
        <w:t>推荐安徽江淮帅铃Q6（型号：</w:t>
      </w:r>
      <w:r>
        <w:rPr>
          <w:rFonts w:ascii="宋体" w:hAnsi="宋体" w:cs="宋体"/>
          <w:kern w:val="0"/>
        </w:rPr>
        <w:t>HFC1078P71K1C7S</w:t>
      </w:r>
      <w:r>
        <w:rPr>
          <w:rFonts w:hint="eastAsia" w:ascii="宋体" w:hAnsi="宋体" w:eastAsia="宋体"/>
          <w:szCs w:val="24"/>
          <w:lang w:val="en-US" w:eastAsia="zh-CN"/>
        </w:rPr>
        <w:t xml:space="preserve"> 江淮康明斯发动机（原装发动机HFC4DE2-2E），160马力（117kw，2951ml排量），底盘原装变速箱，1995宽驾驶室，7.50R16LT14PR原装轮胎，空调，方向助力，电动玻璃，MP3,中控门锁，ABS，断气剎，断气刹，铝合金储气管，防飞溅，排放监+车联网+北斗，电加热后视镜，定速巡航，多功能方向盘）、福田载货汽车（型号BJ1088VEJEA-F3）或者同等品牌底盘，康明斯发动机，马力不少于160马力，驾驶室空调（底盘原装空调）、灭火器。底盘整体原厂出品，不可上装厂非法组装、拼装等。</w:t>
      </w:r>
    </w:p>
    <w:p w14:paraId="030644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b/>
          <w:bCs/>
          <w:szCs w:val="24"/>
          <w:lang w:val="en-US" w:eastAsia="zh-CN"/>
        </w:rPr>
      </w:pPr>
      <w:r>
        <w:rPr>
          <w:rFonts w:hint="eastAsia" w:ascii="宋体" w:hAnsi="宋体" w:eastAsia="宋体"/>
          <w:b/>
          <w:bCs/>
          <w:szCs w:val="24"/>
          <w:lang w:val="en-US" w:eastAsia="zh-CN"/>
        </w:rPr>
        <w:t>3.1.2 上装结构</w:t>
      </w:r>
    </w:p>
    <w:p w14:paraId="7A8681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b/>
          <w:bCs/>
          <w:szCs w:val="24"/>
          <w:lang w:val="en-US" w:eastAsia="zh-CN"/>
        </w:rPr>
      </w:pPr>
      <w:r>
        <w:rPr>
          <w:rFonts w:hint="eastAsia" w:ascii="宋体" w:hAnsi="宋体" w:eastAsia="宋体"/>
          <w:szCs w:val="24"/>
          <w:lang w:val="en-US" w:eastAsia="zh-CN"/>
        </w:rPr>
        <w:t>3.1.2.1厢体结构：厢板外表面选用国内优质的2.0mm(实测不低于1.8mm）玻璃钢材料，内侧2.0mm304不锈钢板（实测不低于1.8mm），底板2.0mm304不锈钢板（实测不低于1.8mm），内为进口高密度聚氨酯板，后门框及五金锁具全为优质不锈钢材质；活动尾板满足单块承重500kg，宽不少于50cm（碳钢材质，数量2块）；带自卸功能；带喷淋、消毒装置；带污水收集箱；厢板整体厚度：不低于83mm。所有不锈钢材质不得低于304；</w:t>
      </w:r>
      <w:r>
        <w:rPr>
          <w:rFonts w:hint="eastAsia" w:ascii="宋体" w:hAnsi="宋体" w:eastAsia="宋体"/>
          <w:b/>
          <w:bCs/>
          <w:szCs w:val="24"/>
          <w:lang w:val="en-US" w:eastAsia="zh-CN"/>
        </w:rPr>
        <w:t>车厢内侧板及底板的拼缝、连接处均氩弧满焊，并试水。</w:t>
      </w:r>
    </w:p>
    <w:p w14:paraId="7B6F30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r>
        <w:rPr>
          <w:rFonts w:hint="eastAsia" w:ascii="宋体" w:hAnsi="宋体" w:eastAsia="宋体"/>
          <w:szCs w:val="24"/>
          <w:lang w:val="en-US" w:eastAsia="zh-CN"/>
        </w:rPr>
        <w:t>3.1.2.2、自卸装置：自卸车底部液压装置，举升力不小于8T。</w:t>
      </w:r>
    </w:p>
    <w:p w14:paraId="3D97312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3.1.2.3、厢内前部加装额载不小于3.5T的液压卷扬机（推荐浙江润华）。卷扬可遥控，带过载保护。</w:t>
      </w:r>
    </w:p>
    <w:p w14:paraId="65CCB4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r>
        <w:rPr>
          <w:rFonts w:hint="eastAsia" w:ascii="宋体" w:hAnsi="宋体" w:eastAsia="宋体"/>
          <w:szCs w:val="24"/>
          <w:lang w:val="en-US" w:eastAsia="zh-CN"/>
        </w:rPr>
        <w:t>3.1.2.4、加装污水收集箱，容积：不小于40L ，确保不滴漏，不锈钢球阀排液阀。箱体内污水收集口不影响上下猪。</w:t>
      </w:r>
    </w:p>
    <w:p w14:paraId="669180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bookmarkStart w:id="11" w:name="_Toc91073134"/>
      <w:r>
        <w:rPr>
          <w:rFonts w:hint="eastAsia" w:ascii="宋体" w:hAnsi="宋体" w:eastAsia="宋体"/>
          <w:szCs w:val="24"/>
          <w:lang w:val="en-US" w:eastAsia="zh-CN"/>
        </w:rPr>
        <w:t>3.1.2.5、车厢冷机：发动机转速1500-2000转/分时，空箱1个半小时左右制冷温度至少可以达到零下18度的实际制冷温度。</w:t>
      </w:r>
    </w:p>
    <w:p w14:paraId="0ED2AE0D">
      <w:pPr>
        <w:widowControl/>
        <w:numPr>
          <w:ilvl w:val="0"/>
          <w:numId w:val="0"/>
        </w:numPr>
        <w:spacing w:line="375" w:lineRule="atLeast"/>
        <w:jc w:val="left"/>
        <w:rPr>
          <w:rFonts w:hint="eastAsia" w:ascii="宋体" w:hAnsi="宋体" w:eastAsia="宋体"/>
          <w:szCs w:val="24"/>
          <w:lang w:val="en-US" w:eastAsia="zh-CN"/>
        </w:rPr>
      </w:pPr>
      <w:r>
        <w:rPr>
          <w:rFonts w:hint="eastAsia" w:ascii="宋体" w:hAnsi="宋体" w:eastAsia="宋体"/>
          <w:szCs w:val="24"/>
          <w:lang w:val="en-US" w:eastAsia="zh-CN"/>
        </w:rPr>
        <w:t>3.1.2.6、标准配件：厢体后门周边2.5mm铝合金包边，不锈钢门锁，不锈钢门框，不锈钢合页，箱内节能照明灯；带1个污水处理箱</w:t>
      </w:r>
      <w:bookmarkEnd w:id="11"/>
      <w:r>
        <w:rPr>
          <w:rFonts w:hint="eastAsia" w:ascii="宋体" w:hAnsi="宋体" w:eastAsia="宋体"/>
          <w:szCs w:val="24"/>
          <w:lang w:val="en-US" w:eastAsia="zh-CN"/>
        </w:rPr>
        <w:t>。</w:t>
      </w:r>
    </w:p>
    <w:p w14:paraId="40D1DCBC">
      <w:pPr>
        <w:widowControl/>
        <w:numPr>
          <w:ilvl w:val="0"/>
          <w:numId w:val="0"/>
        </w:numPr>
        <w:spacing w:line="375" w:lineRule="atLeast"/>
        <w:jc w:val="left"/>
        <w:rPr>
          <w:rFonts w:ascii="宋体" w:hAnsi="宋体" w:cs="Arial"/>
          <w:sz w:val="24"/>
          <w:szCs w:val="24"/>
        </w:rPr>
      </w:pPr>
      <w:r>
        <w:rPr>
          <w:rFonts w:hint="eastAsia" w:ascii="宋体" w:hAnsi="宋体" w:eastAsia="宋体"/>
          <w:szCs w:val="24"/>
          <w:lang w:val="en-US" w:eastAsia="zh-CN"/>
        </w:rPr>
        <w:t>3.1.2.7、厢内加装喷雾消毒，紫外线消毒装置各一套。</w:t>
      </w:r>
    </w:p>
    <w:p w14:paraId="1C90A18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3.1.2.8、加装清水箱一个，20L，洗手用。</w:t>
      </w:r>
    </w:p>
    <w:p w14:paraId="75BBDF1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lang w:val="en-US" w:eastAsia="zh-CN"/>
        </w:rPr>
      </w:pPr>
    </w:p>
    <w:p w14:paraId="7E01B28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lang w:val="en-US" w:eastAsia="zh-CN"/>
        </w:rPr>
      </w:pPr>
    </w:p>
    <w:p w14:paraId="2996C5B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lang w:val="en-US" w:eastAsia="zh-CN"/>
        </w:rPr>
      </w:pPr>
    </w:p>
    <w:p w14:paraId="37E49D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b/>
          <w:bCs/>
          <w:szCs w:val="24"/>
          <w:lang w:val="en-US" w:eastAsia="zh-CN"/>
        </w:rPr>
      </w:pPr>
      <w:r>
        <w:rPr>
          <w:rFonts w:hint="eastAsia" w:ascii="宋体" w:hAnsi="宋体" w:eastAsia="宋体"/>
          <w:b/>
          <w:bCs/>
          <w:szCs w:val="24"/>
          <w:lang w:val="en-US" w:eastAsia="zh-CN"/>
        </w:rPr>
        <w:t>3.2  额载5T无害化收集专用车2台</w:t>
      </w:r>
    </w:p>
    <w:p w14:paraId="34C8EB2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
          <w:bCs/>
          <w:szCs w:val="24"/>
          <w:lang w:val="en-US" w:eastAsia="zh-CN"/>
        </w:rPr>
      </w:pPr>
      <w:r>
        <w:rPr>
          <w:rFonts w:hint="eastAsia" w:ascii="宋体" w:hAnsi="宋体" w:eastAsia="宋体"/>
          <w:b/>
          <w:bCs/>
          <w:szCs w:val="24"/>
          <w:lang w:val="en-US" w:eastAsia="zh-CN"/>
        </w:rPr>
        <w:t>3.2.1底盘配置</w:t>
      </w:r>
    </w:p>
    <w:p w14:paraId="2DC1EE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szCs w:val="24"/>
          <w:lang w:val="en-US" w:eastAsia="zh-CN"/>
        </w:rPr>
      </w:pPr>
      <w:r>
        <w:rPr>
          <w:rFonts w:hint="eastAsia" w:ascii="宋体" w:hAnsi="宋体" w:eastAsia="宋体"/>
          <w:szCs w:val="24"/>
          <w:lang w:val="en-US" w:eastAsia="zh-CN"/>
        </w:rPr>
        <w:t xml:space="preserve">安徽江淮帅铃Q7（型号： </w:t>
      </w:r>
      <w:r>
        <w:rPr>
          <w:rFonts w:hint="eastAsia" w:ascii="宋体" w:hAnsi="宋体" w:cs="宋体"/>
          <w:kern w:val="0"/>
        </w:rPr>
        <w:t>HFC1128P71K2D1S</w:t>
      </w:r>
      <w:r>
        <w:rPr>
          <w:rFonts w:hint="eastAsia" w:ascii="宋体" w:hAnsi="宋体" w:eastAsia="宋体"/>
          <w:szCs w:val="24"/>
          <w:lang w:val="en-US" w:eastAsia="zh-CN"/>
        </w:rPr>
        <w:t xml:space="preserve"> 江淮康明斯发动机（原装发动机</w:t>
      </w:r>
      <w:r>
        <w:rPr>
          <w:rFonts w:ascii="宋体" w:hAnsi="宋体" w:cs="宋体"/>
          <w:kern w:val="0"/>
        </w:rPr>
        <w:t>B4.0NS6B170</w:t>
      </w:r>
      <w:r>
        <w:rPr>
          <w:rFonts w:hint="eastAsia" w:ascii="宋体" w:hAnsi="宋体" w:eastAsia="宋体"/>
          <w:szCs w:val="24"/>
          <w:lang w:val="en-US" w:eastAsia="zh-CN"/>
        </w:rPr>
        <w:t>），170马力（125kw，4000ml排量），底盘原装变速箱，1990宽驾驶室，245/70R19.516PR原装轮胎，空调，方向助力，电动玻璃，MP3,中控门锁，ABS，断气剎，断气刹，铝合金储气管，防飞溅，排放监+车联网+北斗，电加热后视镜，定速巡航，多功能方向盘）、福田载货汽车（型号BJ1108VEJED-F3）或者同等品牌底盘，康明斯发动机或者同等配置，马力不少于170马力，驾驶室空调（底盘原装空调）、灭火器。底盘整体原厂出品，不可上装厂非法组装、拼装等。</w:t>
      </w:r>
    </w:p>
    <w:p w14:paraId="3B93F8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b/>
          <w:bCs/>
          <w:szCs w:val="24"/>
          <w:lang w:val="en-US" w:eastAsia="zh-CN"/>
        </w:rPr>
      </w:pPr>
      <w:r>
        <w:rPr>
          <w:rFonts w:hint="eastAsia" w:ascii="宋体" w:hAnsi="宋体" w:eastAsia="宋体"/>
          <w:b/>
          <w:bCs/>
          <w:szCs w:val="24"/>
          <w:lang w:val="en-US" w:eastAsia="zh-CN"/>
        </w:rPr>
        <w:t>3.2.2 上装结构</w:t>
      </w:r>
    </w:p>
    <w:p w14:paraId="3032BD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b/>
          <w:bCs/>
          <w:szCs w:val="24"/>
          <w:lang w:val="en-US" w:eastAsia="zh-CN"/>
        </w:rPr>
      </w:pPr>
      <w:r>
        <w:rPr>
          <w:rFonts w:hint="eastAsia" w:ascii="宋体" w:hAnsi="宋体" w:eastAsia="宋体"/>
          <w:szCs w:val="24"/>
          <w:lang w:val="en-US" w:eastAsia="zh-CN"/>
        </w:rPr>
        <w:t>3.2.2.1厢体结构：厢板外表面选用国内优质的2.0mm（实测不低于1.8）玻璃钢材料，内侧2.0mm304不锈钢板（实测不低于1.8mm），底板2.0mm304不锈钢板（实测不低于1.8mm），内为进口高密度聚氨酯板，后门框及五金锁具全为优质不锈钢材质；活动尾板满足单块承重500kg，宽不少于50cm（碳钢材质，数量2块）；带自卸功能；带喷淋、消毒装置；带污水收集箱；厢板整体厚度：不低于83mm。所有不锈钢材质不得低于304；</w:t>
      </w:r>
      <w:r>
        <w:rPr>
          <w:rFonts w:hint="eastAsia" w:ascii="宋体" w:hAnsi="宋体" w:eastAsia="宋体"/>
          <w:b/>
          <w:bCs/>
          <w:szCs w:val="24"/>
          <w:lang w:val="en-US" w:eastAsia="zh-CN"/>
        </w:rPr>
        <w:t>车厢内侧板及底板的拼缝、连接处均氩弧满焊，并试水。</w:t>
      </w:r>
    </w:p>
    <w:p w14:paraId="6043352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r>
        <w:rPr>
          <w:rFonts w:hint="eastAsia" w:ascii="宋体" w:hAnsi="宋体" w:eastAsia="宋体"/>
          <w:szCs w:val="24"/>
          <w:lang w:val="en-US" w:eastAsia="zh-CN"/>
        </w:rPr>
        <w:t>3.2.2.2、自卸装置：自卸车底部液压装置，举升力不小于10T。</w:t>
      </w:r>
    </w:p>
    <w:p w14:paraId="3ACE561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3.2.2.3、厢内前部加装额载不小于3.5T的液压卷扬机（推荐浙江润华）。卷扬可遥控，带过载保护。</w:t>
      </w:r>
    </w:p>
    <w:p w14:paraId="6C2491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szCs w:val="24"/>
          <w:lang w:val="en-US" w:eastAsia="zh-CN"/>
        </w:rPr>
      </w:pPr>
      <w:r>
        <w:rPr>
          <w:rFonts w:hint="eastAsia" w:ascii="宋体" w:hAnsi="宋体" w:eastAsia="宋体"/>
          <w:szCs w:val="24"/>
          <w:lang w:val="en-US" w:eastAsia="zh-CN"/>
        </w:rPr>
        <w:t>3.2.2.4、加装污水收集箱，容积：不小于40L ，确保不滴漏，不锈钢球阀排液阀。箱体内污水收集口不影响上下猪。</w:t>
      </w:r>
    </w:p>
    <w:p w14:paraId="3BC453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3.2.2.5、车厢冷机：发动机转速1500-2000转/分时，空箱1个半小时左右制冷温度至少可以达到零下18度的实际制冷温度。</w:t>
      </w:r>
    </w:p>
    <w:p w14:paraId="60E6B616">
      <w:pPr>
        <w:widowControl/>
        <w:numPr>
          <w:ilvl w:val="0"/>
          <w:numId w:val="0"/>
        </w:numPr>
        <w:spacing w:line="375" w:lineRule="atLeast"/>
        <w:jc w:val="left"/>
        <w:rPr>
          <w:rFonts w:hint="eastAsia" w:ascii="宋体" w:hAnsi="宋体" w:eastAsia="宋体"/>
          <w:szCs w:val="24"/>
          <w:lang w:val="en-US" w:eastAsia="zh-CN"/>
        </w:rPr>
      </w:pPr>
      <w:r>
        <w:rPr>
          <w:rFonts w:hint="eastAsia" w:ascii="宋体" w:hAnsi="宋体" w:eastAsia="宋体"/>
          <w:szCs w:val="24"/>
          <w:lang w:val="en-US" w:eastAsia="zh-CN"/>
        </w:rPr>
        <w:t>3.2.2.6、标准配件：厢体后门周边2.5mm铝合金包边，不锈钢门锁，不锈钢门框，不锈钢合页，箱内节能照明灯；带1个污水处理箱。</w:t>
      </w:r>
    </w:p>
    <w:p w14:paraId="4D6F997D">
      <w:pPr>
        <w:widowControl/>
        <w:numPr>
          <w:ilvl w:val="0"/>
          <w:numId w:val="0"/>
        </w:numPr>
        <w:spacing w:line="375" w:lineRule="atLeast"/>
        <w:jc w:val="left"/>
        <w:rPr>
          <w:rFonts w:ascii="宋体" w:hAnsi="宋体" w:cs="Arial"/>
          <w:sz w:val="24"/>
          <w:szCs w:val="24"/>
        </w:rPr>
      </w:pPr>
      <w:r>
        <w:rPr>
          <w:rFonts w:hint="eastAsia" w:ascii="宋体" w:hAnsi="宋体" w:eastAsia="宋体"/>
          <w:szCs w:val="24"/>
          <w:lang w:val="en-US" w:eastAsia="zh-CN"/>
        </w:rPr>
        <w:t>3.2.2.7、厢内加装喷雾消毒，紫外线消毒装置各一套。</w:t>
      </w:r>
    </w:p>
    <w:p w14:paraId="6416F7C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3.2.2.8、加装清水箱一个，20L，洗手用。</w:t>
      </w:r>
    </w:p>
    <w:p w14:paraId="3A2BC9ED">
      <w:pPr>
        <w:spacing w:line="360" w:lineRule="auto"/>
        <w:jc w:val="left"/>
        <w:rPr>
          <w:rFonts w:hint="default" w:ascii="宋体" w:hAnsi="宋体" w:eastAsia="宋体"/>
          <w:b/>
          <w:bCs/>
          <w:szCs w:val="24"/>
          <w:lang w:val="en-US" w:eastAsia="zh-CN"/>
        </w:rPr>
      </w:pPr>
      <w:r>
        <w:rPr>
          <w:rFonts w:hint="eastAsia" w:ascii="宋体" w:hAnsi="宋体" w:eastAsia="宋体"/>
          <w:b/>
          <w:bCs/>
          <w:szCs w:val="24"/>
          <w:lang w:val="en-US" w:eastAsia="zh-CN"/>
        </w:rPr>
        <w:t>4、质量标准：满足国家现行有关材料及施工质量验收规范要求，并达到合格标准。</w:t>
      </w:r>
      <w:bookmarkStart w:id="12" w:name="_Toc470006775"/>
      <w:r>
        <w:rPr>
          <w:rFonts w:hint="eastAsia" w:ascii="宋体" w:hAnsi="宋体" w:eastAsia="宋体"/>
          <w:b/>
          <w:bCs/>
          <w:szCs w:val="24"/>
          <w:lang w:val="en-US" w:eastAsia="zh-CN"/>
        </w:rPr>
        <w:t>底盘大梁需考虑车辆超载情况下，举升卸料不变形，满足载重及卸货要求，具体方案由投标方优化提出。</w:t>
      </w:r>
    </w:p>
    <w:bookmarkEnd w:id="3"/>
    <w:bookmarkEnd w:id="4"/>
    <w:bookmarkEnd w:id="5"/>
    <w:bookmarkEnd w:id="6"/>
    <w:bookmarkEnd w:id="7"/>
    <w:bookmarkEnd w:id="8"/>
    <w:bookmarkEnd w:id="9"/>
    <w:bookmarkEnd w:id="12"/>
    <w:p w14:paraId="74472739">
      <w:pPr>
        <w:numPr>
          <w:ilvl w:val="0"/>
          <w:numId w:val="0"/>
        </w:numPr>
        <w:rPr>
          <w:rFonts w:ascii="宋体" w:hAnsi="宋体"/>
          <w:szCs w:val="24"/>
          <w:highlight w:val="yellow"/>
        </w:rPr>
      </w:pPr>
    </w:p>
    <w:p w14:paraId="6E70E8BB">
      <w:pPr>
        <w:spacing w:line="360" w:lineRule="auto"/>
        <w:jc w:val="left"/>
        <w:rPr>
          <w:rFonts w:hint="eastAsia" w:ascii="宋体" w:hAnsi="宋体" w:eastAsia="宋体"/>
          <w:b/>
          <w:bCs/>
          <w:szCs w:val="24"/>
          <w:lang w:val="en-US" w:eastAsia="zh-CN"/>
        </w:rPr>
      </w:pPr>
      <w:r>
        <w:rPr>
          <w:rFonts w:hint="eastAsia" w:ascii="宋体" w:hAnsi="宋体" w:eastAsia="宋体"/>
          <w:b/>
          <w:bCs/>
          <w:szCs w:val="24"/>
          <w:lang w:val="en-US" w:eastAsia="zh-CN"/>
        </w:rPr>
        <w:t xml:space="preserve">5、质保期和质保内容： </w:t>
      </w:r>
    </w:p>
    <w:p w14:paraId="1A3B05B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r>
        <w:rPr>
          <w:rFonts w:hint="eastAsia" w:ascii="宋体" w:hAnsi="宋体" w:eastAsia="宋体"/>
          <w:szCs w:val="24"/>
          <w:lang w:val="en-US" w:eastAsia="zh-CN"/>
        </w:rPr>
        <w:t xml:space="preserve">依据供方协议及行业规定上装和下装分别由供方和主机厂在国内三包一年或三万公里。   </w:t>
      </w:r>
    </w:p>
    <w:p w14:paraId="2C2484E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szCs w:val="24"/>
          <w:lang w:val="en-US" w:eastAsia="zh-CN"/>
        </w:rPr>
      </w:pPr>
    </w:p>
    <w:p w14:paraId="240335C0">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szCs w:val="24"/>
          <w:lang w:val="en-US" w:eastAsia="zh-CN"/>
        </w:rPr>
      </w:pPr>
    </w:p>
    <w:p w14:paraId="037C0FF0">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szCs w:val="24"/>
          <w:lang w:val="en-US" w:eastAsia="zh-CN"/>
        </w:rPr>
      </w:pPr>
      <w:r>
        <w:rPr>
          <w:rFonts w:hint="eastAsia" w:ascii="宋体" w:hAnsi="宋体" w:eastAsia="宋体"/>
          <w:szCs w:val="24"/>
          <w:lang w:val="en-US" w:eastAsia="zh-CN"/>
        </w:rPr>
        <w:t xml:space="preserve">玉屏县华朗农业资源循环科学处理有限公司 </w:t>
      </w:r>
    </w:p>
    <w:p w14:paraId="243A24AE">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szCs w:val="24"/>
          <w:lang w:val="en-US" w:eastAsia="zh-CN"/>
        </w:rPr>
      </w:pPr>
      <w:r>
        <w:rPr>
          <w:rFonts w:hint="eastAsia" w:ascii="宋体" w:hAnsi="宋体" w:eastAsia="宋体"/>
          <w:szCs w:val="24"/>
          <w:lang w:val="en-US" w:eastAsia="zh-CN"/>
        </w:rPr>
        <w:t>2025年08月14日</w:t>
      </w:r>
    </w:p>
    <w:sectPr>
      <w:headerReference r:id="rId6" w:type="default"/>
      <w:footerReference r:id="rId7" w:type="default"/>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C33E1">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0CF1E538">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23</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51</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0980C4FC">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982D">
    <w:pPr>
      <w:pStyle w:val="2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DFC32F">
                          <w:pPr>
                            <w:pStyle w:val="2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DFC32F">
                    <w:pPr>
                      <w:pStyle w:val="2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p w14:paraId="70E6085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B1A42">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4A321">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3Yzc0NzEzODgzOGFkYzcwMmRjZWU3ZmU2MDExNG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A1D"/>
    <w:rsid w:val="000C713D"/>
    <w:rsid w:val="000C7E6F"/>
    <w:rsid w:val="000C7F4D"/>
    <w:rsid w:val="000D0171"/>
    <w:rsid w:val="000D0756"/>
    <w:rsid w:val="000D3E37"/>
    <w:rsid w:val="000D42BB"/>
    <w:rsid w:val="000D4A66"/>
    <w:rsid w:val="000D4DE0"/>
    <w:rsid w:val="000D66C8"/>
    <w:rsid w:val="000D7E86"/>
    <w:rsid w:val="000E2C55"/>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24893"/>
    <w:rsid w:val="00426740"/>
    <w:rsid w:val="00432480"/>
    <w:rsid w:val="00432E6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648AB"/>
    <w:rsid w:val="00565CAA"/>
    <w:rsid w:val="00567664"/>
    <w:rsid w:val="00570550"/>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3891"/>
    <w:rsid w:val="00AC4F26"/>
    <w:rsid w:val="00AC60D1"/>
    <w:rsid w:val="00AC6B27"/>
    <w:rsid w:val="00AC7CC7"/>
    <w:rsid w:val="00AD567B"/>
    <w:rsid w:val="00AD7F38"/>
    <w:rsid w:val="00AE04E9"/>
    <w:rsid w:val="00AE1E3A"/>
    <w:rsid w:val="00AE6EE7"/>
    <w:rsid w:val="00AF62A0"/>
    <w:rsid w:val="00AF7323"/>
    <w:rsid w:val="00B01E11"/>
    <w:rsid w:val="00B02039"/>
    <w:rsid w:val="00B06566"/>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C05AF"/>
    <w:rsid w:val="00CC172C"/>
    <w:rsid w:val="00CC1972"/>
    <w:rsid w:val="00CC512E"/>
    <w:rsid w:val="00CC5383"/>
    <w:rsid w:val="00CC5E11"/>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11F4"/>
    <w:rsid w:val="00D1368F"/>
    <w:rsid w:val="00D13CBE"/>
    <w:rsid w:val="00D21807"/>
    <w:rsid w:val="00D3088E"/>
    <w:rsid w:val="00D34A15"/>
    <w:rsid w:val="00D35631"/>
    <w:rsid w:val="00D357A5"/>
    <w:rsid w:val="00D36D3C"/>
    <w:rsid w:val="00D37238"/>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4533"/>
    <w:rsid w:val="00D9558C"/>
    <w:rsid w:val="00D958D0"/>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23F66B6"/>
    <w:rsid w:val="02EF1E8A"/>
    <w:rsid w:val="036A1510"/>
    <w:rsid w:val="04EF43C3"/>
    <w:rsid w:val="08F875BE"/>
    <w:rsid w:val="0C0A0922"/>
    <w:rsid w:val="10D74603"/>
    <w:rsid w:val="11BA51AA"/>
    <w:rsid w:val="120F6396"/>
    <w:rsid w:val="1336140F"/>
    <w:rsid w:val="149D101A"/>
    <w:rsid w:val="14BC3B96"/>
    <w:rsid w:val="15052E2D"/>
    <w:rsid w:val="16710EBD"/>
    <w:rsid w:val="18F96E8C"/>
    <w:rsid w:val="18FC6C57"/>
    <w:rsid w:val="196F7429"/>
    <w:rsid w:val="1977452F"/>
    <w:rsid w:val="1A296C10"/>
    <w:rsid w:val="1CB835E7"/>
    <w:rsid w:val="1CFF6F40"/>
    <w:rsid w:val="1DB16262"/>
    <w:rsid w:val="1ECB1208"/>
    <w:rsid w:val="1F8144DD"/>
    <w:rsid w:val="2205092A"/>
    <w:rsid w:val="228F4698"/>
    <w:rsid w:val="24F904EE"/>
    <w:rsid w:val="2646208B"/>
    <w:rsid w:val="26CF7759"/>
    <w:rsid w:val="27870033"/>
    <w:rsid w:val="2A0D4BCA"/>
    <w:rsid w:val="2B253DEB"/>
    <w:rsid w:val="2CE73B85"/>
    <w:rsid w:val="345E211C"/>
    <w:rsid w:val="3504244C"/>
    <w:rsid w:val="35D90DD6"/>
    <w:rsid w:val="38BF587F"/>
    <w:rsid w:val="3DEF3806"/>
    <w:rsid w:val="3EC11C25"/>
    <w:rsid w:val="3F3D5750"/>
    <w:rsid w:val="3F977BB0"/>
    <w:rsid w:val="40CF2239"/>
    <w:rsid w:val="44110F59"/>
    <w:rsid w:val="44D93791"/>
    <w:rsid w:val="489423C8"/>
    <w:rsid w:val="49CF2C5A"/>
    <w:rsid w:val="4A49144C"/>
    <w:rsid w:val="4AC959D0"/>
    <w:rsid w:val="4B72052F"/>
    <w:rsid w:val="4BF20AB3"/>
    <w:rsid w:val="4C1B5EF9"/>
    <w:rsid w:val="4D202159"/>
    <w:rsid w:val="4EBE7F2F"/>
    <w:rsid w:val="4F3B668E"/>
    <w:rsid w:val="51B37C6D"/>
    <w:rsid w:val="5305612D"/>
    <w:rsid w:val="53B8319F"/>
    <w:rsid w:val="571E3D72"/>
    <w:rsid w:val="572B1EDA"/>
    <w:rsid w:val="57EF4CB5"/>
    <w:rsid w:val="58020E8D"/>
    <w:rsid w:val="58584F50"/>
    <w:rsid w:val="5A88618F"/>
    <w:rsid w:val="5D65398D"/>
    <w:rsid w:val="5DB42C29"/>
    <w:rsid w:val="5E484E4A"/>
    <w:rsid w:val="5EF961CD"/>
    <w:rsid w:val="5FD77BF1"/>
    <w:rsid w:val="609E30C4"/>
    <w:rsid w:val="61A60ADB"/>
    <w:rsid w:val="63BF5E84"/>
    <w:rsid w:val="641C5084"/>
    <w:rsid w:val="64AC465A"/>
    <w:rsid w:val="6747463D"/>
    <w:rsid w:val="69036813"/>
    <w:rsid w:val="6DFFD528"/>
    <w:rsid w:val="72296CAE"/>
    <w:rsid w:val="75ED37DD"/>
    <w:rsid w:val="7731279D"/>
    <w:rsid w:val="77866F8C"/>
    <w:rsid w:val="78C80EDF"/>
    <w:rsid w:val="797D25FA"/>
    <w:rsid w:val="7D7F6A8A"/>
    <w:rsid w:val="7F1064F1"/>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2082</Words>
  <Characters>2549</Characters>
  <Lines>236</Lines>
  <Paragraphs>66</Paragraphs>
  <TotalTime>3</TotalTime>
  <ScaleCrop>false</ScaleCrop>
  <LinksUpToDate>false</LinksUpToDate>
  <CharactersWithSpaces>2576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黄德东</cp:lastModifiedBy>
  <cp:lastPrinted>2020-09-18T22:29:00Z</cp:lastPrinted>
  <dcterms:modified xsi:type="dcterms:W3CDTF">2025-08-15T02:54:25Z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22F7A323801143529A057A248617C026_13</vt:lpwstr>
  </property>
  <property fmtid="{D5CDD505-2E9C-101B-9397-08002B2CF9AE}" pid="4" name="KSOTemplateDocerSaveRecord">
    <vt:lpwstr>eyJoZGlkIjoiZmE3Yzc0NzEzODgzOGFkYzcwMmRjZWU3ZmU2MDExNGMiLCJ1c2VySWQiOiIxNDAyMzM4NTY2In0=</vt:lpwstr>
  </property>
</Properties>
</file>